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Date: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 Name: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 City, State: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 Asset Size: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FINBOA Sales Executive: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Partner Sales Executive / Relationship Manager:  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or Existing Customer: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Current Volumes: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Only provide volumes for payment types that are in-scope to digitize and automate through FINBOA.</w:t>
      </w:r>
    </w:p>
    <w:tbl>
      <w:tblPr>
        <w:tblStyle w:val="Table1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1515"/>
        <w:gridCol w:w="3240"/>
        <w:gridCol w:w="3270"/>
        <w:tblGridChange w:id="0">
          <w:tblGrid>
            <w:gridCol w:w="1155"/>
            <w:gridCol w:w="1515"/>
            <w:gridCol w:w="3240"/>
            <w:gridCol w:w="32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Required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(Yes or 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Payment Types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Monthly Average              Dispute CLAIM Volume   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        (Ex: A claim that includes 3 transactions should be counted as 1 claim)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Daily Average       TRANSACTION Volume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(Include ALL transactions processed by FI, not just disputed transactions.  Do not provide $ amount total)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Debit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Credit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Bill Pay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P2P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Wire Transfer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/ Mobile Deposit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Stop Payment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Current Challenges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__Handling increased dispute volumes with current staff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__Missing compliance deadlines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__Too many errors resulting from manual / paper-based processes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__Customer complaints</w:t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__Audit exceptions or concerns</w:t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__Customer experience needs improvement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__Training new employees on the manual process is time-consuming or challenging</w:t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__Write-offs and losses too high</w:t>
      </w:r>
    </w:p>
    <w:p w:rsidR="00000000" w:rsidDel="00000000" w:rsidP="00000000" w:rsidRDefault="00000000" w:rsidRPr="00000000" w14:paraId="00000043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__Other (please specify)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Staffing and Training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many branch locations? </w:t>
      </w:r>
    </w:p>
    <w:p w:rsidR="00000000" w:rsidDel="00000000" w:rsidP="00000000" w:rsidRDefault="00000000" w:rsidRPr="00000000" w14:paraId="00000046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many staff per branch are handling payment dispute claims? </w:t>
      </w:r>
    </w:p>
    <w:p w:rsidR="00000000" w:rsidDel="00000000" w:rsidP="00000000" w:rsidRDefault="00000000" w:rsidRPr="00000000" w14:paraId="00000047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many call center reps are handling payment disputes?  </w:t>
      </w:r>
    </w:p>
    <w:p w:rsidR="00000000" w:rsidDel="00000000" w:rsidP="00000000" w:rsidRDefault="00000000" w:rsidRPr="00000000" w14:paraId="00000048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many back-office staff are handling payment disputes?  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Write-offs and Losses</w:t>
      </w:r>
    </w:p>
    <w:p w:rsidR="00000000" w:rsidDel="00000000" w:rsidP="00000000" w:rsidRDefault="00000000" w:rsidRPr="00000000" w14:paraId="0000004A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is your current Under Business Minimum for writing off disputes (the transaction amount under which your institution automatically credits the customer’s account)?</w:t>
      </w:r>
    </w:p>
    <w:p w:rsidR="00000000" w:rsidDel="00000000" w:rsidP="00000000" w:rsidRDefault="00000000" w:rsidRPr="00000000" w14:paraId="0000004B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were your total write-offs and losses (YTD, last month, on average, etc.)?</w:t>
      </w:r>
    </w:p>
    <w:p w:rsidR="00000000" w:rsidDel="00000000" w:rsidP="00000000" w:rsidRDefault="00000000" w:rsidRPr="00000000" w14:paraId="0000004C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you send all of your disputes to your card processor or just those eligible for charge-backs?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Retention:</w:t>
      </w:r>
    </w:p>
    <w:p w:rsidR="00000000" w:rsidDel="00000000" w:rsidP="00000000" w:rsidRDefault="00000000" w:rsidRPr="00000000" w14:paraId="0000004E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long do you need to make payment transactions available for selection during the dispute intake process (standard retention is 24 months)? </w:t>
      </w:r>
    </w:p>
    <w:p w:rsidR="00000000" w:rsidDel="00000000" w:rsidP="00000000" w:rsidRDefault="00000000" w:rsidRPr="00000000" w14:paraId="0000004F">
      <w:pPr>
        <w:spacing w:after="240" w:befor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Integration:</w:t>
      </w:r>
    </w:p>
    <w:p w:rsidR="00000000" w:rsidDel="00000000" w:rsidP="00000000" w:rsidRDefault="00000000" w:rsidRPr="00000000" w14:paraId="00000052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FINBOA supports batch file and API integration options for customer, account, transaction and GL data.    </w:t>
      </w:r>
    </w:p>
    <w:p w:rsidR="00000000" w:rsidDel="00000000" w:rsidP="00000000" w:rsidRDefault="00000000" w:rsidRPr="00000000" w14:paraId="00000053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batch file integration, FINBOA provides FI’s with batch file specification for FI to properly format data.   </w:t>
      </w:r>
    </w:p>
    <w:p w:rsidR="00000000" w:rsidDel="00000000" w:rsidP="00000000" w:rsidRDefault="00000000" w:rsidRPr="00000000" w14:paraId="00000054">
      <w:pPr>
        <w:spacing w:after="240" w:before="240" w:lineRule="auto"/>
        <w:ind w:left="72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API integration,  FINBOA will leverage an existing API or develop an API to the FI’s core/GL system. 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Additional one-time and annual fees apply to API integration.</w:t>
      </w:r>
    </w:p>
    <w:tbl>
      <w:tblPr>
        <w:tblStyle w:val="Table2"/>
        <w:tblW w:w="886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2490"/>
        <w:gridCol w:w="1650"/>
        <w:gridCol w:w="1650"/>
        <w:gridCol w:w="1815"/>
        <w:tblGridChange w:id="0">
          <w:tblGrid>
            <w:gridCol w:w="1260"/>
            <w:gridCol w:w="2490"/>
            <w:gridCol w:w="1650"/>
            <w:gridCol w:w="1650"/>
            <w:gridCol w:w="1815"/>
          </w:tblGrid>
        </w:tblGridChange>
      </w:tblGrid>
      <w:tr>
        <w:trPr>
          <w:cantSplit w:val="0"/>
          <w:tblHeader w:val="1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Required (Yes or No)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Integration Type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Available Options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Select from Available Options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Provider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Customer, Account and Transaction 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Batch File or API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GL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Batch File or API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Branch Digital Signature Integration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Topaz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 Imaging / 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File Delivery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Banking Dispute Intake 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SSO SAML2.0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Batch Letter Generation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File Delivery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Card Processor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WebBot or API Options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240" w:before="240" w:lineRule="auto"/>
        <w:ind w:left="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you want to update GL entries at branch level?    How many branches should be included?</w:t>
      </w:r>
    </w:p>
    <w:p w:rsidR="00000000" w:rsidDel="00000000" w:rsidP="00000000" w:rsidRDefault="00000000" w:rsidRPr="00000000" w14:paraId="00000084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*WebBot integration eliminates user re-keying of claims into supported card processor systems.  Card processor system must have a web interface available for WebBot option to be enabled.   For card processing systems supporting APIs, FINBOA can integrate via API.   Additional one-time and annual fees apply to WebBots and APIs.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Brands:   </w:t>
      </w:r>
    </w:p>
    <w:p w:rsidR="00000000" w:rsidDel="00000000" w:rsidP="00000000" w:rsidRDefault="00000000" w:rsidRPr="00000000" w14:paraId="00000086">
      <w:pPr>
        <w:spacing w:after="240" w:before="240" w:lineRule="auto"/>
        <w:ind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Does the FI operate under multiple brands?</w:t>
      </w:r>
    </w:p>
    <w:p w:rsidR="00000000" w:rsidDel="00000000" w:rsidP="00000000" w:rsidRDefault="00000000" w:rsidRPr="00000000" w14:paraId="00000087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spacing w:after="240" w:before="240" w:lineRule="auto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2857500" cy="6286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750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anGO8KSfP+6asExDhEP6+7kdlg==">AMUW2mWunGEbHJzzrRzW9sYUdt5qsLZSY8htiHr822cOjub9FtLg5CcL6d+/ZpG1ypMaDWdaJqnAfij65YlT0/AqmoWS38SOE5hP38PhHl18/vRweEjCYFJl8z/bvCRSlIU1jW1ShoEcjU6K/MhbRTB4djcunxO8EtHLyqC5WRgAn1otQScX0VtPXzhRaZHFQbKIsVsLLqddP0NO8WWWhW1bIcTe/doWww==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